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Look w:val="04A0" w:firstRow="1" w:lastRow="0" w:firstColumn="1" w:lastColumn="0" w:noHBand="0" w:noVBand="1"/>
      </w:tblPr>
      <w:tblGrid>
        <w:gridCol w:w="1542"/>
        <w:gridCol w:w="2810"/>
        <w:gridCol w:w="411"/>
        <w:gridCol w:w="1464"/>
        <w:gridCol w:w="1415"/>
        <w:gridCol w:w="522"/>
        <w:gridCol w:w="1250"/>
        <w:gridCol w:w="1386"/>
      </w:tblGrid>
      <w:tr w:rsidR="00A319C4" w:rsidRPr="00A319C4" w14:paraId="4A4FC14B" w14:textId="77777777" w:rsidTr="00A319C4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8D7C" w14:textId="21EF68B5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32C5D" wp14:editId="50F3542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228600</wp:posOffset>
                      </wp:positionV>
                      <wp:extent cx="533400" cy="142875"/>
                      <wp:effectExtent l="19050" t="19050" r="19050" b="47625"/>
                      <wp:wrapNone/>
                      <wp:docPr id="4" name="Arrow: Left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DA34AD-6019-4FBC-8347-574C0C5AC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854E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4" o:spid="_x0000_s1026" type="#_x0000_t66" style="position:absolute;margin-left:26.25pt;margin-top:18pt;width:4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" adj="2200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</w:tblGrid>
            <w:tr w:rsidR="00A319C4" w:rsidRPr="00A319C4" w14:paraId="42A44958" w14:textId="77777777">
              <w:trPr>
                <w:trHeight w:val="276"/>
                <w:tblCellSpacing w:w="0" w:type="dxa"/>
              </w:trPr>
              <w:tc>
                <w:tcPr>
                  <w:tcW w:w="1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9C841" w14:textId="77777777" w:rsidR="00A319C4" w:rsidRPr="00A319C4" w:rsidRDefault="00A319C4" w:rsidP="00A319C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  <w:tr w:rsidR="00A319C4" w:rsidRPr="00A319C4" w14:paraId="637D9C85" w14:textId="77777777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9E85BE" w14:textId="77777777" w:rsidR="00A319C4" w:rsidRPr="00A319C4" w:rsidRDefault="00A319C4" w:rsidP="00A319C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64EA73A1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D51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630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8EF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57C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09B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9F1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693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207B412C" w14:textId="77777777" w:rsidTr="00A319C4">
        <w:trPr>
          <w:trHeight w:val="300"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7314F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A673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  Your county logo here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6244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B86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F7E5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>Your county logo here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FA09" w14:textId="50772FE1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499D89" wp14:editId="33F1708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47625</wp:posOffset>
                      </wp:positionV>
                      <wp:extent cx="628650" cy="142875"/>
                      <wp:effectExtent l="0" t="19050" r="38100" b="47625"/>
                      <wp:wrapNone/>
                      <wp:docPr id="5" name="Arrow: Left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BB9217-7785-4E4D-A760-2A16580BD3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09600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118DF" id="Arrow: Left 5" o:spid="_x0000_s1026" type="#_x0000_t66" style="position:absolute;margin-left:33pt;margin-top:3.75pt;width:49.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" adj="1856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"/>
            </w:tblGrid>
            <w:tr w:rsidR="00A319C4" w:rsidRPr="00A319C4" w14:paraId="223241B5" w14:textId="77777777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181032" w14:textId="77777777" w:rsidR="00A319C4" w:rsidRPr="00A319C4" w:rsidRDefault="00A319C4" w:rsidP="00A319C4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7D0F73AC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5932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6A23435C" w14:textId="77777777" w:rsidTr="00A319C4">
        <w:trPr>
          <w:trHeight w:val="300"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FEE15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5ED7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355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751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A9B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6C3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2E76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5323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4CA8A9B8" w14:textId="77777777" w:rsidTr="00A319C4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1E26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Title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9010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R&amp;B Truck Driver II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41C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8809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8E25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093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72C7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Grade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F011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A319C4" w:rsidRPr="00A319C4" w14:paraId="570FBFC1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E71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34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AF0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A60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831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575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3E7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B87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50946476" w14:textId="77777777" w:rsidTr="00A319C4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36BE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Reports to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D285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F45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4DAD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Position #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B5CB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25A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64A6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FLSA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DF03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A319C4" w:rsidRPr="00A319C4" w14:paraId="56C75CFD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E2B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D31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8F3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036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7ED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86F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027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047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18D03CC2" w14:textId="77777777" w:rsidTr="00A319C4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373E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Department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1D7C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27B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7EB4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Location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8B37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B64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1B9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SIC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9BB4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A319C4" w:rsidRPr="00A319C4" w14:paraId="7E0AF671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A0F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F57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039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5DE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4B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8930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A7F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8B0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71403D94" w14:textId="77777777" w:rsidTr="00A319C4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37E7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Division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4D4A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0ED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1003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23C0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3C5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9DCC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EEO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3EB3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A319C4" w:rsidRPr="00A319C4" w14:paraId="2F8BEB7C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4DD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899F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56C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DF9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C45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8D6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B687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2F4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1390AE70" w14:textId="77777777" w:rsidTr="00A319C4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5BBC1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Summary of Functions: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</w:p>
        </w:tc>
      </w:tr>
      <w:tr w:rsidR="00A319C4" w:rsidRPr="00A319C4" w14:paraId="5428C7F7" w14:textId="77777777" w:rsidTr="00A319C4">
        <w:trPr>
          <w:trHeight w:val="9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0B191" w14:textId="35CC14ED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Operates dump, water and haul trucks carrying loads as assigned from point to point.  Operates in a safe manner at all times representing the county as a safe operator.  Performs routine preventive maintenance on trucks.  Makes minor repairs to trucks to keep in compliance with operating requirements.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A319C4" w:rsidRPr="00A319C4" w14:paraId="7FDF8B03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22BA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04C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EE0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A6A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8D1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597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127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DF6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151E62C0" w14:textId="77777777" w:rsidTr="00A319C4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FF2E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Distinguishing Characteristics: </w:t>
            </w:r>
          </w:p>
        </w:tc>
      </w:tr>
      <w:tr w:rsidR="00A319C4" w:rsidRPr="00A319C4" w14:paraId="464DDBD5" w14:textId="77777777" w:rsidTr="00A319C4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F2DD3" w14:textId="194BE70E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>This is the second in a series of three (3) truck driver related job classifications within th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is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job family.   This is an intermediate skill level position.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A319C4" w:rsidRPr="00A319C4" w14:paraId="3B59211A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4E99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23B7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FF0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217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7FBF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72D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762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CBC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73BF1897" w14:textId="77777777" w:rsidTr="00A319C4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C8CC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Management Scope:  N/A</w:t>
            </w:r>
          </w:p>
        </w:tc>
      </w:tr>
      <w:tr w:rsidR="00A319C4" w:rsidRPr="00A319C4" w14:paraId="36B40E0E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5AEF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42E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E3E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85F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152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0B8F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26D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FC2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200CA325" w14:textId="77777777" w:rsidTr="00A319C4">
        <w:trPr>
          <w:trHeight w:val="300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F73E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Duties and Responsibilities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DC4A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E9C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A074" w14:textId="77777777" w:rsidR="00A319C4" w:rsidRPr="00A319C4" w:rsidRDefault="00A319C4" w:rsidP="00A319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% of Time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47FA" w14:textId="77777777" w:rsidR="00A319C4" w:rsidRPr="00A319C4" w:rsidRDefault="00A319C4" w:rsidP="00A319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0063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ssential / </w:t>
            </w: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>on-Essential</w:t>
            </w:r>
          </w:p>
        </w:tc>
      </w:tr>
      <w:tr w:rsidR="00A319C4" w:rsidRPr="00A319C4" w14:paraId="76F27FEA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795E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C41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A85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8A8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D387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B94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034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712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06862D43" w14:textId="77777777" w:rsidTr="00A319C4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22E4A" w14:textId="0FEBB279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1.  Delivers materials by driving single or tandem axle dump truck to and from job sites.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B781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BBE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B0A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32B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260CDF18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1F3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131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17B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0C6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3FA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D60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23F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330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34FEF194" w14:textId="77777777" w:rsidTr="00A319C4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76FDD" w14:textId="602A754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2. Loads and unloads materials from dump truck.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4A74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FD7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6FF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167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0051C019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875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06DF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72E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C6B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15E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A3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5FC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778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05DE33EC" w14:textId="77777777" w:rsidTr="00A319C4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33AF3" w14:textId="57E21885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3. Operates other heavy trucks such as water truck or haul truck.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5B23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344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EE4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C2C7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072C1AC2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A03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B37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2F9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EA5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514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7DF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160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9A9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65F3723E" w14:textId="77777777" w:rsidTr="00A319C4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B2E10" w14:textId="17D381E2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4. Conducts daily pre and post operation inspections, documents inspection forms as required.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EE62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05E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989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1C3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7071C008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AAD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A65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2B5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B87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A3D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D8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BA0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3CE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1153B6A9" w14:textId="77777777" w:rsidTr="00A319C4">
        <w:trPr>
          <w:trHeight w:val="9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0DE81" w14:textId="282A6D3B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5. Familiar with and adheres to all federal, state and county regulations pertaining to operating heavy trucks on the roadways.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CE69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59E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B36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B21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15A8477D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1B8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17D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E6E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FF0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26E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766F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3AF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4B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05334D75" w14:textId="77777777" w:rsidTr="00A319C4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39CF" w14:textId="7EAD37C3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6. Performs routine preventive maintenance tasks associated with the operation of heavy trucks.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AB44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2D4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44B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788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67F9EE08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36A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900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8E8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40F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0EB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156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880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413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494DB6B8" w14:textId="77777777" w:rsidTr="00A319C4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A50F" w14:textId="5641310B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7. Provides input for efficient routes to lead worker.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2FD4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A9C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7E3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34C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06B71DFD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976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D74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F4B0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B7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F54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4B1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5D9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63C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05EDC419" w14:textId="77777777" w:rsidTr="00A319C4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26D6" w14:textId="1E0360EB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8. Performs other job-related duties as assigned.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B4DD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42F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34C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86B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44D8F0A3" w14:textId="77777777" w:rsidTr="00A319C4">
        <w:trPr>
          <w:trHeight w:val="162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B8D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EE1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D37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A5D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187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49461322" w14:textId="77777777" w:rsidTr="00A319C4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81D8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Minimum Qualifications</w:t>
            </w:r>
          </w:p>
        </w:tc>
      </w:tr>
      <w:tr w:rsidR="00A319C4" w:rsidRPr="00A319C4" w14:paraId="0E8D9C13" w14:textId="77777777" w:rsidTr="00A319C4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8ED20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 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Education, Experience and Trainin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g: </w:t>
            </w:r>
          </w:p>
        </w:tc>
      </w:tr>
      <w:tr w:rsidR="00A319C4" w:rsidRPr="00A319C4" w14:paraId="1E46177F" w14:textId="77777777" w:rsidTr="00A319C4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94843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>Requires High School diploma or GED equivalent.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Requires three (3) years of experience operating trucks that require a class A CDL </w:t>
            </w:r>
          </w:p>
        </w:tc>
      </w:tr>
      <w:tr w:rsidR="00A319C4" w:rsidRPr="00A319C4" w14:paraId="70C1E77F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01EDC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C887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B71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9E1F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EF2C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3EC7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8CD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B261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3CBC64B3" w14:textId="77777777" w:rsidTr="00A319C4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DF7B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 xml:space="preserve"> Licenses, Registrations, Certifications, or Special Requirements: </w:t>
            </w:r>
          </w:p>
        </w:tc>
      </w:tr>
      <w:tr w:rsidR="00A319C4" w:rsidRPr="00A319C4" w14:paraId="3CD2C259" w14:textId="77777777" w:rsidTr="00A319C4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FF9E6" w14:textId="02A9DCC2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Texas Class A CDL with acceptable driving record.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A319C4" w:rsidRPr="00A319C4" w14:paraId="090A0D76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6A958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B8D1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18B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5C2D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CF95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5A9D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24C6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A632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2D75046E" w14:textId="77777777" w:rsidTr="00A319C4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30FE1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 xml:space="preserve">  Preferred: </w:t>
            </w:r>
          </w:p>
        </w:tc>
      </w:tr>
      <w:tr w:rsidR="00A319C4" w:rsidRPr="00A319C4" w14:paraId="5CF5954B" w14:textId="77777777" w:rsidTr="00A319C4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7B3B1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>Tank Vehicle (N) endorsement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>Hazardous Materials (H) endorsement</w:t>
            </w:r>
          </w:p>
        </w:tc>
      </w:tr>
      <w:tr w:rsidR="00A319C4" w:rsidRPr="00A319C4" w14:paraId="72BD8AE1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D5229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5C8A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C61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F8A9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4C29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AA8E5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E4B4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BE1A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619197B7" w14:textId="77777777" w:rsidTr="00A319C4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5BC31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</w:rPr>
              <w:t>Knowledge, Skills &amp; Abilities:</w:t>
            </w: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 </w:t>
            </w:r>
          </w:p>
        </w:tc>
      </w:tr>
      <w:tr w:rsidR="00A319C4" w:rsidRPr="00A319C4" w14:paraId="33E91876" w14:textId="77777777" w:rsidTr="00A319C4">
        <w:trPr>
          <w:trHeight w:val="24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62152" w14:textId="70CBC258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Knowledge of: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>* Applicable safety practices and regulations.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Applicable provisions that reduce operating hazards and enhance safety rules, regulations, and precautions.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Proper load and tie down practices.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Preventive maintenance steps to perform daily.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County and Department's Employee Policy and Procedures rules and regulations.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>* Industry standards associated with recording activity and report preparation.</w:t>
            </w:r>
          </w:p>
        </w:tc>
      </w:tr>
      <w:tr w:rsidR="00A319C4" w:rsidRPr="00A319C4" w14:paraId="69B41BAB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C4043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9F23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D80A6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D05E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8E941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9373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7C8DE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1B39B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4F8FD0F2" w14:textId="77777777" w:rsidTr="00A319C4">
        <w:trPr>
          <w:trHeight w:val="18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67192" w14:textId="0C04E714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Skill in: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Operating a variety of trucks safely.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>* Both verbal and written communication, including conveying and following instructions.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Diagnosing equipment problems and making field repairs and adjustments. 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Applying proper and applicable safety practices, </w:t>
            </w:r>
            <w:r w:rsidR="008C14E1" w:rsidRPr="00A319C4">
              <w:rPr>
                <w:rFonts w:ascii="Calibri" w:eastAsia="Times New Roman" w:hAnsi="Calibri" w:cs="Calibri"/>
                <w:color w:val="000000"/>
                <w:sz w:val="22"/>
              </w:rPr>
              <w:t>procedures,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and regulations.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>* Working with others, including working as a team member.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</w:p>
        </w:tc>
      </w:tr>
      <w:tr w:rsidR="00A319C4" w:rsidRPr="00A319C4" w14:paraId="714F2B10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FA4C3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0A64F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8D38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7D00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4DBF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82FE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2BD8F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EEE7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33C60969" w14:textId="77777777" w:rsidTr="00A319C4">
        <w:trPr>
          <w:trHeight w:val="30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3EADE" w14:textId="5FE8AE5F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Ability to: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Safely and efficiently operate loading equipment such as skid steer with a bucket, </w:t>
            </w:r>
            <w:r w:rsidR="008C14E1" w:rsidRPr="00A319C4">
              <w:rPr>
                <w:rFonts w:ascii="Calibri" w:eastAsia="Times New Roman" w:hAnsi="Calibri" w:cs="Calibri"/>
                <w:color w:val="000000"/>
                <w:sz w:val="22"/>
              </w:rPr>
              <w:t>loader,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or backhoe.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Read, </w:t>
            </w:r>
            <w:r w:rsidR="008C14E1" w:rsidRPr="00A319C4">
              <w:rPr>
                <w:rFonts w:ascii="Calibri" w:eastAsia="Times New Roman" w:hAnsi="Calibri" w:cs="Calibri"/>
                <w:color w:val="000000"/>
                <w:sz w:val="22"/>
              </w:rPr>
              <w:t>understand,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and follow complex instructions.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Understand and simple processes and routine operation of trucks and equipment.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Reason and make sound judgements.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>* Work independently and efficiently.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Manage time well, perform multiple tasks, and organize diverse activities.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>* Establish and maintain effective working relationships with County employees and officials, representatives of outside agencies, and the general public.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Demonstrate regular and reliable attendance. </w:t>
            </w:r>
          </w:p>
        </w:tc>
      </w:tr>
      <w:tr w:rsidR="00A319C4" w:rsidRPr="00A319C4" w14:paraId="1045DF96" w14:textId="77777777" w:rsidTr="00A319C4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3D4EA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BF1B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40797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4021A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1558C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B94E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B5E59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F484F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6C5A54F2" w14:textId="77777777" w:rsidTr="00A319C4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F2BA5" w14:textId="77777777" w:rsidR="00A319C4" w:rsidRPr="00A319C4" w:rsidRDefault="00A319C4" w:rsidP="00A319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</w:rPr>
              <w:t>Physical/Environmental Requirements and Other Information</w:t>
            </w:r>
            <w:r w:rsidRPr="00A319C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: </w:t>
            </w:r>
          </w:p>
        </w:tc>
      </w:tr>
      <w:tr w:rsidR="00A319C4" w:rsidRPr="00A319C4" w14:paraId="38C8B233" w14:textId="77777777" w:rsidTr="00A319C4">
        <w:trPr>
          <w:trHeight w:val="21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9B95B" w14:textId="12144889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Physical requirements include the ability to lift/carry up to 50 pounds, visual acuity, speech and hearing, hand and eye coordination and manual dexterity.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Subject to standing, sitting, walking, climbing stairs, bending, stooping, crouching, kneeling, pushing, pulling, reaching, twisting, balancing, repetitive motion, driving, client/customer contact, and squatting to perform the essential functions.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Subject to extreme temperatures, outside elements, noise, vibration, contact with dust, fumes and hazardous chemicals, foul odors, animal and human fecal matter, </w:t>
            </w:r>
            <w:r w:rsidR="008C14E1" w:rsidRPr="00A319C4">
              <w:rPr>
                <w:rFonts w:ascii="Calibri" w:eastAsia="Times New Roman" w:hAnsi="Calibri" w:cs="Calibri"/>
                <w:color w:val="000000"/>
                <w:sz w:val="22"/>
              </w:rPr>
              <w:t>insects,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and rodents. 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>Requires the use of Personal Protective Equipment as required by job circumstances.</w:t>
            </w:r>
            <w:r w:rsidR="008C14E1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A319C4" w:rsidRPr="00A319C4" w14:paraId="688EF3E1" w14:textId="77777777" w:rsidTr="00A319C4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915B7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2B007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7A5E8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472F3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A9A8F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4852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B72F7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64D44" w14:textId="77777777" w:rsidR="00A319C4" w:rsidRPr="00A319C4" w:rsidRDefault="00A319C4" w:rsidP="00A319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19C4" w:rsidRPr="00A319C4" w14:paraId="57F480DC" w14:textId="77777777" w:rsidTr="00A319C4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EF832" w14:textId="77777777" w:rsidR="00A319C4" w:rsidRPr="00A319C4" w:rsidRDefault="00A319C4" w:rsidP="00A319C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19C4">
              <w:rPr>
                <w:rFonts w:ascii="Calibri" w:eastAsia="Times New Roman" w:hAnsi="Calibri" w:cs="Calibri"/>
                <w:color w:val="000000"/>
                <w:sz w:val="22"/>
              </w:rPr>
              <w:t xml:space="preserve">(YOUR COUNTY NAME) employees play an important role in business continuity.  As such, employees may be assigned to business continuity efforts outside of normal job functions.  </w:t>
            </w:r>
          </w:p>
        </w:tc>
      </w:tr>
    </w:tbl>
    <w:p w14:paraId="476D0561" w14:textId="6C47772F" w:rsidR="00061017" w:rsidRDefault="00061017"/>
    <w:p w14:paraId="0CB43D83" w14:textId="235CB018" w:rsidR="00F33EC1" w:rsidRDefault="00F33EC1">
      <w:r>
        <w:t>Ed. V1.2 December 2020</w:t>
      </w:r>
    </w:p>
    <w:sectPr w:rsidR="00F33EC1" w:rsidSect="00A31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06D5C" w14:textId="77777777" w:rsidR="000279D1" w:rsidRDefault="000279D1" w:rsidP="00940E69">
      <w:r>
        <w:separator/>
      </w:r>
    </w:p>
  </w:endnote>
  <w:endnote w:type="continuationSeparator" w:id="0">
    <w:p w14:paraId="500AE422" w14:textId="77777777" w:rsidR="000279D1" w:rsidRDefault="000279D1" w:rsidP="0094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3E6DA" w14:textId="77777777" w:rsidR="00940E69" w:rsidRDefault="00940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47CAC" w14:textId="77777777" w:rsidR="00940E69" w:rsidRDefault="00940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A7F1A" w14:textId="77777777" w:rsidR="00940E69" w:rsidRDefault="0094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D3BF2" w14:textId="77777777" w:rsidR="000279D1" w:rsidRDefault="000279D1" w:rsidP="00940E69">
      <w:r>
        <w:separator/>
      </w:r>
    </w:p>
  </w:footnote>
  <w:footnote w:type="continuationSeparator" w:id="0">
    <w:p w14:paraId="2328A50E" w14:textId="77777777" w:rsidR="000279D1" w:rsidRDefault="000279D1" w:rsidP="0094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AFEC1" w14:textId="77777777" w:rsidR="00940E69" w:rsidRDefault="00940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D77B" w14:textId="3916CBA7" w:rsidR="00940E69" w:rsidRDefault="00940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5A1F2" w14:textId="77777777" w:rsidR="00940E69" w:rsidRDefault="00940E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C4"/>
    <w:rsid w:val="000279D1"/>
    <w:rsid w:val="00061017"/>
    <w:rsid w:val="003A4AC4"/>
    <w:rsid w:val="00672377"/>
    <w:rsid w:val="00722CA1"/>
    <w:rsid w:val="008C14E1"/>
    <w:rsid w:val="00940E69"/>
    <w:rsid w:val="00A319C4"/>
    <w:rsid w:val="00AC73E3"/>
    <w:rsid w:val="00F3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004B7"/>
  <w15:chartTrackingRefBased/>
  <w15:docId w15:val="{C445A777-C8C9-4396-BF1A-36364776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E69"/>
  </w:style>
  <w:style w:type="paragraph" w:styleId="Footer">
    <w:name w:val="footer"/>
    <w:basedOn w:val="Normal"/>
    <w:link w:val="FooterChar"/>
    <w:uiPriority w:val="99"/>
    <w:unhideWhenUsed/>
    <w:rsid w:val="00940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Tammy Belk</cp:lastModifiedBy>
  <cp:revision>3</cp:revision>
  <dcterms:created xsi:type="dcterms:W3CDTF">2020-12-16T19:06:00Z</dcterms:created>
  <dcterms:modified xsi:type="dcterms:W3CDTF">2020-12-16T19:07:00Z</dcterms:modified>
</cp:coreProperties>
</file>